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33F" w:rsidRDefault="00D5233F" w:rsidP="00B640BE">
      <w:pPr>
        <w:spacing w:after="0" w:line="480" w:lineRule="auto"/>
        <w:contextualSpacing/>
        <w:rPr>
          <w:lang w:val="en-US"/>
        </w:rPr>
      </w:pPr>
    </w:p>
    <w:p w:rsidR="00D5233F" w:rsidRDefault="00D5233F" w:rsidP="00B640BE">
      <w:pPr>
        <w:spacing w:after="0" w:line="480" w:lineRule="auto"/>
        <w:contextualSpacing/>
        <w:rPr>
          <w:lang w:val="en-US"/>
        </w:rPr>
      </w:pPr>
    </w:p>
    <w:p w:rsidR="00D5233F" w:rsidRDefault="00D5233F" w:rsidP="00B640BE">
      <w:pPr>
        <w:spacing w:after="0" w:line="480" w:lineRule="auto"/>
        <w:contextualSpacing/>
        <w:rPr>
          <w:lang w:val="en-US"/>
        </w:rPr>
      </w:pPr>
    </w:p>
    <w:p w:rsidR="00D5233F" w:rsidRDefault="00D5233F" w:rsidP="00B640BE">
      <w:pPr>
        <w:spacing w:after="0" w:line="480" w:lineRule="auto"/>
        <w:contextualSpacing/>
        <w:rPr>
          <w:lang w:val="en-US"/>
        </w:rPr>
      </w:pPr>
    </w:p>
    <w:p w:rsidR="00D5233F" w:rsidRDefault="00D5233F" w:rsidP="00B640BE">
      <w:pPr>
        <w:spacing w:after="0" w:line="480" w:lineRule="auto"/>
        <w:contextualSpacing/>
        <w:rPr>
          <w:lang w:val="en-US"/>
        </w:rPr>
      </w:pPr>
    </w:p>
    <w:p w:rsidR="00A866DF" w:rsidRDefault="00303219" w:rsidP="00B640BE">
      <w:pPr>
        <w:spacing w:after="0" w:line="480" w:lineRule="auto"/>
        <w:contextualSpacing/>
        <w:jc w:val="center"/>
        <w:rPr>
          <w:lang w:val="en-US"/>
        </w:rPr>
      </w:pPr>
      <w:r>
        <w:rPr>
          <w:lang w:val="en-US"/>
        </w:rPr>
        <w:t xml:space="preserve">Human </w:t>
      </w:r>
      <w:r w:rsidR="00D5233F">
        <w:rPr>
          <w:lang w:val="en-US"/>
        </w:rPr>
        <w:t>Resource Management and Mergers</w:t>
      </w:r>
    </w:p>
    <w:p w:rsidR="00D5233F" w:rsidRDefault="00D5233F" w:rsidP="00B640BE">
      <w:pPr>
        <w:spacing w:after="0" w:line="480" w:lineRule="auto"/>
        <w:contextualSpacing/>
        <w:jc w:val="center"/>
        <w:rPr>
          <w:lang w:val="en-US"/>
        </w:rPr>
      </w:pPr>
      <w:r>
        <w:rPr>
          <w:lang w:val="en-US"/>
        </w:rPr>
        <w:t>Student Name</w:t>
      </w:r>
    </w:p>
    <w:p w:rsidR="00D5233F" w:rsidRDefault="00D5233F" w:rsidP="00B640BE">
      <w:pPr>
        <w:spacing w:after="0" w:line="480" w:lineRule="auto"/>
        <w:contextualSpacing/>
        <w:jc w:val="center"/>
        <w:rPr>
          <w:lang w:val="en-US"/>
        </w:rPr>
      </w:pPr>
      <w:r>
        <w:rPr>
          <w:lang w:val="en-US"/>
        </w:rPr>
        <w:t>Institutional Affiliation</w:t>
      </w:r>
    </w:p>
    <w:p w:rsidR="00D5233F" w:rsidRDefault="00D5233F" w:rsidP="00B640BE">
      <w:pPr>
        <w:spacing w:after="0" w:line="480" w:lineRule="auto"/>
        <w:contextualSpacing/>
        <w:rPr>
          <w:lang w:val="en-US"/>
        </w:rPr>
      </w:pPr>
      <w:r>
        <w:rPr>
          <w:lang w:val="en-US"/>
        </w:rPr>
        <w:br w:type="page"/>
      </w:r>
    </w:p>
    <w:p w:rsidR="00D5233F" w:rsidRDefault="007349F0" w:rsidP="00B640BE">
      <w:pPr>
        <w:spacing w:after="0" w:line="480" w:lineRule="auto"/>
        <w:contextualSpacing/>
        <w:jc w:val="center"/>
        <w:rPr>
          <w:lang w:val="en-US"/>
        </w:rPr>
      </w:pPr>
      <w:r>
        <w:rPr>
          <w:lang w:val="en-US"/>
        </w:rPr>
        <w:lastRenderedPageBreak/>
        <w:t>Human Resource Management and Mergers</w:t>
      </w:r>
    </w:p>
    <w:p w:rsidR="00303219" w:rsidRDefault="001F5473" w:rsidP="00B640BE">
      <w:pPr>
        <w:spacing w:after="0" w:line="480" w:lineRule="auto"/>
        <w:ind w:firstLine="720"/>
        <w:contextualSpacing/>
        <w:rPr>
          <w:lang w:val="en-US"/>
        </w:rPr>
      </w:pPr>
      <w:bookmarkStart w:id="0" w:name="_GoBack"/>
      <w:bookmarkEnd w:id="0"/>
      <w:r>
        <w:rPr>
          <w:lang w:val="en-US"/>
        </w:rPr>
        <w:t xml:space="preserve">The study of </w:t>
      </w:r>
      <w:r w:rsidR="00303219">
        <w:rPr>
          <w:lang w:val="en-US"/>
        </w:rPr>
        <w:t xml:space="preserve">Mergers and acquisitions (M&amp;As) </w:t>
      </w:r>
      <w:r>
        <w:rPr>
          <w:lang w:val="en-US"/>
        </w:rPr>
        <w:t xml:space="preserve">present unequivocal outlooks as well as </w:t>
      </w:r>
      <w:r w:rsidR="00796B1E">
        <w:rPr>
          <w:lang w:val="en-US"/>
        </w:rPr>
        <w:t>subjects</w:t>
      </w:r>
      <w:r>
        <w:rPr>
          <w:lang w:val="en-US"/>
        </w:rPr>
        <w:t xml:space="preserve"> despite scholastic</w:t>
      </w:r>
      <w:r w:rsidR="003C7BCD">
        <w:rPr>
          <w:lang w:val="en-US"/>
        </w:rPr>
        <w:t xml:space="preserve"> suggestions showing </w:t>
      </w:r>
      <w:r w:rsidR="00796B1E">
        <w:rPr>
          <w:lang w:val="en-US"/>
        </w:rPr>
        <w:t xml:space="preserve">academic overindulgence in this discipline. </w:t>
      </w:r>
      <w:r w:rsidR="00521A87">
        <w:rPr>
          <w:lang w:val="en-US"/>
        </w:rPr>
        <w:t xml:space="preserve">While this is the case, the management of organizational transitions from two separate entities to a singular integration </w:t>
      </w:r>
      <w:r w:rsidR="002648C2">
        <w:rPr>
          <w:lang w:val="en-US"/>
        </w:rPr>
        <w:t xml:space="preserve">presents prime challenges for senior </w:t>
      </w:r>
      <w:r w:rsidR="00A83497">
        <w:rPr>
          <w:lang w:val="en-US"/>
        </w:rPr>
        <w:t>executives,</w:t>
      </w:r>
      <w:r w:rsidR="002648C2">
        <w:rPr>
          <w:lang w:val="en-US"/>
        </w:rPr>
        <w:t xml:space="preserve"> </w:t>
      </w:r>
      <w:r w:rsidR="00A83497">
        <w:rPr>
          <w:lang w:val="en-US"/>
        </w:rPr>
        <w:t xml:space="preserve">as it requires strategies encompassing numerous variables. Such variables include </w:t>
      </w:r>
      <w:r w:rsidR="00FF55CC">
        <w:rPr>
          <w:lang w:val="en-US"/>
        </w:rPr>
        <w:t>the blending of management processes and systems, structures, and the culture of the organization</w:t>
      </w:r>
      <w:r w:rsidR="00AB633A">
        <w:rPr>
          <w:lang w:val="en-US"/>
        </w:rPr>
        <w:t>s, which in turn</w:t>
      </w:r>
      <w:r w:rsidR="00FC5FD7">
        <w:rPr>
          <w:lang w:val="en-US"/>
        </w:rPr>
        <w:t xml:space="preserve"> determines expected synergies. Such synergies often develop through the placement of emphases on planning processes that outwardly expedite</w:t>
      </w:r>
      <w:r w:rsidR="00026DA9">
        <w:rPr>
          <w:lang w:val="en-US"/>
        </w:rPr>
        <w:t xml:space="preserve"> symbiotic attributes within divergent organizational systems</w:t>
      </w:r>
      <w:r w:rsidR="00CE0DC0">
        <w:rPr>
          <w:lang w:val="en-US"/>
        </w:rPr>
        <w:t xml:space="preserve"> </w:t>
      </w:r>
      <w:r w:rsidR="00797BFD">
        <w:t>(Vasilaki et al.,</w:t>
      </w:r>
      <w:r w:rsidR="00797BFD" w:rsidRPr="00797BFD">
        <w:t xml:space="preserve"> 2016)</w:t>
      </w:r>
      <w:r w:rsidR="00026DA9">
        <w:rPr>
          <w:lang w:val="en-US"/>
        </w:rPr>
        <w:t xml:space="preserve">. Generally, therefore, </w:t>
      </w:r>
      <w:r w:rsidR="00C644E1">
        <w:rPr>
          <w:lang w:val="en-US"/>
        </w:rPr>
        <w:t>M&amp;A impacts materialize differently on groups as well as individuals, and further differ among various practices attuned to human resource management, as detailed in the DowDuPont merger below.</w:t>
      </w:r>
    </w:p>
    <w:p w:rsidR="00C644E1" w:rsidRPr="00797BFD" w:rsidRDefault="00C644E1" w:rsidP="00B640BE">
      <w:pPr>
        <w:spacing w:after="0" w:line="480" w:lineRule="auto"/>
        <w:contextualSpacing/>
        <w:jc w:val="center"/>
        <w:rPr>
          <w:b/>
          <w:lang w:val="en-US"/>
        </w:rPr>
      </w:pPr>
      <w:r w:rsidRPr="00797BFD">
        <w:rPr>
          <w:b/>
          <w:lang w:val="en-US"/>
        </w:rPr>
        <w:t>Analysis</w:t>
      </w:r>
    </w:p>
    <w:p w:rsidR="00B155E0" w:rsidRDefault="005E3DC1" w:rsidP="00B640BE">
      <w:pPr>
        <w:spacing w:after="0" w:line="480" w:lineRule="auto"/>
        <w:ind w:firstLine="720"/>
        <w:contextualSpacing/>
      </w:pPr>
      <w:r>
        <w:t>The</w:t>
      </w:r>
      <w:r w:rsidR="00B155E0">
        <w:t xml:space="preserve"> announcement of the DowDuPont merger took place on December 11, 2015 </w:t>
      </w:r>
      <w:r>
        <w:t>between the old DuPont organization and with the Dow Chemical Company in a</w:t>
      </w:r>
      <w:r w:rsidR="008325EE">
        <w:t>n all-stock</w:t>
      </w:r>
      <w:r>
        <w:t xml:space="preserve"> </w:t>
      </w:r>
      <w:r w:rsidR="008325EE">
        <w:t>deal</w:t>
      </w:r>
      <w:r>
        <w:t xml:space="preserve">. </w:t>
      </w:r>
      <w:r w:rsidR="004468A7">
        <w:t>In combinat</w:t>
      </w:r>
      <w:r w:rsidR="00A2651B">
        <w:t>ion of these two, the DowDuPont’</w:t>
      </w:r>
      <w:r w:rsidR="0024167F">
        <w:t>s estimated value escalated to a whopping $130 billion</w:t>
      </w:r>
      <w:r w:rsidR="00E95B66">
        <w:t xml:space="preserve">. </w:t>
      </w:r>
      <w:r w:rsidR="007868E1">
        <w:t>Intrinsically, the merger entailed equal share of the company’s value am</w:t>
      </w:r>
      <w:r w:rsidR="00BC6301">
        <w:t>ongst shareholders. Pursuant to the merger, DuPont shareholders received</w:t>
      </w:r>
      <w:r w:rsidR="001056CC">
        <w:t xml:space="preserve"> a ratio of 1.3</w:t>
      </w:r>
      <w:r w:rsidR="001C5DCB">
        <w:t xml:space="preserve"> shares of the now merged company for each DuPont share</w:t>
      </w:r>
      <w:r w:rsidR="009330A7">
        <w:t xml:space="preserve">, which </w:t>
      </w:r>
      <w:r w:rsidR="001056CC">
        <w:t>represented a fixed exchange</w:t>
      </w:r>
      <w:r w:rsidR="009330A7">
        <w:t xml:space="preserve">. Similarly, Dow shareholders received a fixed exchange ration inclining to 1.00 </w:t>
      </w:r>
      <w:r w:rsidR="00B21C30">
        <w:t xml:space="preserve">in relation to DowDuPont shares. Such equal distribution of the company’s wealth in shares shows the equal merger that transpired between the two companies. As Andrew Liveris, DowDuPont executive chairman noted, the day of the merger marked impressive milestones in the histories of the two companies, predominantly in regards to shares and </w:t>
      </w:r>
      <w:r w:rsidR="00892590">
        <w:t xml:space="preserve">revenues. Ultimately, </w:t>
      </w:r>
      <w:r w:rsidR="00892590">
        <w:lastRenderedPageBreak/>
        <w:t xml:space="preserve">this merger created three independent, industry-leading, publicly traded enterprises with collective heritages and strengths </w:t>
      </w:r>
      <w:r w:rsidR="00D5233F" w:rsidRPr="00D5233F">
        <w:t>("DowDuPont Merger Successfully Completed", 2017)</w:t>
      </w:r>
      <w:r w:rsidR="00892590">
        <w:t>.</w:t>
      </w:r>
    </w:p>
    <w:p w:rsidR="00673B45" w:rsidRDefault="00892590" w:rsidP="00B640BE">
      <w:pPr>
        <w:spacing w:after="0" w:line="480" w:lineRule="auto"/>
        <w:ind w:firstLine="720"/>
        <w:contextualSpacing/>
      </w:pPr>
      <w:r>
        <w:t xml:space="preserve">In regards to human due diligence, both companies showed immense compatibilities in spheres such as culture, strategic vision and mission, </w:t>
      </w:r>
      <w:r w:rsidR="005D765A">
        <w:t xml:space="preserve">decision-making roles, and people attitudes. Essentially, mergers have to exercise proper care in order to ensure the actualization of potential deals </w:t>
      </w:r>
      <w:r w:rsidR="00455BA7">
        <w:t xml:space="preserve">and the implementation of proper ensuing strategies. </w:t>
      </w:r>
      <w:r w:rsidR="00797BFD">
        <w:t>Vasilaki et al.,</w:t>
      </w:r>
      <w:r w:rsidR="00797BFD" w:rsidRPr="00797BFD">
        <w:t xml:space="preserve"> </w:t>
      </w:r>
      <w:r w:rsidR="00797BFD">
        <w:t>(</w:t>
      </w:r>
      <w:r w:rsidR="00797BFD" w:rsidRPr="00797BFD">
        <w:t>2016)</w:t>
      </w:r>
      <w:r w:rsidR="00455BA7">
        <w:t xml:space="preserve"> notes the need of amalgamating due diligence teams with members of both companies in forming a novel type of leadership </w:t>
      </w:r>
      <w:r w:rsidR="00F2027E">
        <w:t xml:space="preserve">in order to establish prompt guidelines for lower level personnel as well as the selection of novel boards and CEOs. In this, </w:t>
      </w:r>
      <w:r w:rsidR="003E08E4">
        <w:t>both companies exhibited proper alignment.</w:t>
      </w:r>
      <w:r w:rsidR="00C05F62">
        <w:t xml:space="preserve"> The DowDuPont merger comprises 16 board members, 8 from each company. All </w:t>
      </w:r>
      <w:r w:rsidR="00F85B15">
        <w:t xml:space="preserve">these board members showed impeccable skill and propensities in their respective dockets. </w:t>
      </w:r>
    </w:p>
    <w:p w:rsidR="00C644E1" w:rsidRDefault="00F85B15" w:rsidP="00B640BE">
      <w:pPr>
        <w:spacing w:after="0" w:line="480" w:lineRule="auto"/>
        <w:ind w:firstLine="720"/>
        <w:contextualSpacing/>
      </w:pPr>
      <w:r>
        <w:t xml:space="preserve">Moreover, the cultures of both companies were similar, even within the board leadership. From Dow, visionaries from Boeing, Unilever, and </w:t>
      </w:r>
      <w:r w:rsidR="00673B45">
        <w:t xml:space="preserve">Duke Nuclear merged with similar leaders representing DuPont board, and hailing from corporations such as Lockheed Martin, the Colgate-Palmolive Company, and Boston University </w:t>
      </w:r>
      <w:r w:rsidR="00D5233F" w:rsidRPr="00D5233F">
        <w:t>("DowDuPont Merger Successfully Completed", 2017)</w:t>
      </w:r>
      <w:r w:rsidR="00673B45">
        <w:t>. Ultimately</w:t>
      </w:r>
      <w:r w:rsidR="00B41324">
        <w:t xml:space="preserve">, an </w:t>
      </w:r>
      <w:r w:rsidR="00673B45">
        <w:t>amalgamation of these members i</w:t>
      </w:r>
      <w:r w:rsidR="00B41324">
        <w:t xml:space="preserve">nto the conjoined DowDuPont Company shows impeccable promise of future success. </w:t>
      </w:r>
      <w:r w:rsidR="009A3678">
        <w:t xml:space="preserve">Therefore, a successful merger of these companies should focus on its leadership, ultimately making it symbiotic as well as attentive to company culture and the needs of customers. Learning to work together and transformational leadership should surely be the core of success </w:t>
      </w:r>
      <w:r w:rsidR="00026B69">
        <w:t>in the DowDuPont merger.</w:t>
      </w:r>
    </w:p>
    <w:p w:rsidR="00026B69" w:rsidRPr="00797BFD" w:rsidRDefault="00026B69" w:rsidP="00B640BE">
      <w:pPr>
        <w:spacing w:after="0" w:line="480" w:lineRule="auto"/>
        <w:contextualSpacing/>
        <w:jc w:val="center"/>
        <w:rPr>
          <w:b/>
        </w:rPr>
      </w:pPr>
      <w:r w:rsidRPr="00797BFD">
        <w:rPr>
          <w:b/>
        </w:rPr>
        <w:t>Conclusion</w:t>
      </w:r>
    </w:p>
    <w:p w:rsidR="00026B69" w:rsidRDefault="00026B69" w:rsidP="00B640BE">
      <w:pPr>
        <w:spacing w:after="0" w:line="480" w:lineRule="auto"/>
        <w:ind w:firstLine="720"/>
        <w:contextualSpacing/>
      </w:pPr>
      <w:r>
        <w:t xml:space="preserve">Ultimately, mergers and acquisitions remain essential business strategies that provide both long- and short-term profitability. At the </w:t>
      </w:r>
      <w:r w:rsidR="00D5233F">
        <w:t>centre</w:t>
      </w:r>
      <w:r>
        <w:t xml:space="preserve"> of success</w:t>
      </w:r>
      <w:r w:rsidR="005566D5">
        <w:t xml:space="preserve"> is the capabilities of human </w:t>
      </w:r>
      <w:r w:rsidR="005566D5">
        <w:lastRenderedPageBreak/>
        <w:t xml:space="preserve">resource in identifying proper alignments among companies looking to merge. </w:t>
      </w:r>
      <w:r w:rsidR="008B6E4A">
        <w:t xml:space="preserve">Nonetheless, some mergers succeed while others fail. Companies that do reject mergers automatically do not understand their potential as imperative growth vehicles and success definers. </w:t>
      </w:r>
      <w:r w:rsidR="004760B7">
        <w:t>Epstein (2005) affirms M&amp;As as viable blueprints for enterprise success.</w:t>
      </w:r>
    </w:p>
    <w:p w:rsidR="00B640BE" w:rsidRDefault="00B640BE" w:rsidP="00B640BE">
      <w:pPr>
        <w:spacing w:after="0" w:line="480" w:lineRule="auto"/>
        <w:contextualSpacing/>
      </w:pPr>
      <w:r>
        <w:br w:type="page"/>
      </w:r>
    </w:p>
    <w:p w:rsidR="00797BFD" w:rsidRDefault="00797BFD" w:rsidP="00B640BE">
      <w:pPr>
        <w:spacing w:after="0" w:line="480" w:lineRule="auto"/>
        <w:contextualSpacing/>
        <w:jc w:val="center"/>
      </w:pPr>
      <w:r>
        <w:lastRenderedPageBreak/>
        <w:t>References</w:t>
      </w:r>
    </w:p>
    <w:p w:rsidR="00797BFD" w:rsidRDefault="00B640BE" w:rsidP="00B640BE">
      <w:pPr>
        <w:spacing w:after="0" w:line="480" w:lineRule="auto"/>
        <w:ind w:left="720" w:hanging="720"/>
        <w:contextualSpacing/>
      </w:pPr>
      <w:r w:rsidRPr="00B640BE">
        <w:t xml:space="preserve">DowDuPont Merger Successfully Completed. (2017). Retrieved 15 October 2019, from </w:t>
      </w:r>
      <w:hyperlink r:id="rId6" w:history="1">
        <w:r w:rsidRPr="00F961D5">
          <w:rPr>
            <w:rStyle w:val="Hyperlink"/>
          </w:rPr>
          <w:t>https://corporate.dow.com/en-us/news/press-releases/dowdupont-merger-successfully-completed.html</w:t>
        </w:r>
      </w:hyperlink>
    </w:p>
    <w:p w:rsidR="00B640BE" w:rsidRDefault="00B640BE" w:rsidP="00B640BE">
      <w:pPr>
        <w:spacing w:after="0" w:line="480" w:lineRule="auto"/>
        <w:ind w:left="720" w:hanging="720"/>
        <w:contextualSpacing/>
      </w:pPr>
      <w:r w:rsidRPr="00B640BE">
        <w:t>Epstein, M. (2005). The determinants and evaluation of merger success. </w:t>
      </w:r>
      <w:r w:rsidRPr="00B640BE">
        <w:rPr>
          <w:i/>
          <w:iCs/>
        </w:rPr>
        <w:t>Business Horizons</w:t>
      </w:r>
      <w:r w:rsidRPr="00B640BE">
        <w:t>, </w:t>
      </w:r>
      <w:r w:rsidRPr="00B640BE">
        <w:rPr>
          <w:i/>
          <w:iCs/>
        </w:rPr>
        <w:t>48</w:t>
      </w:r>
      <w:r w:rsidRPr="00B640BE">
        <w:t>(1), 37-46. doi: 10.1016/j.bushor.2004.10.001</w:t>
      </w:r>
    </w:p>
    <w:p w:rsidR="00B640BE" w:rsidRDefault="00B640BE" w:rsidP="00B640BE">
      <w:pPr>
        <w:spacing w:after="0" w:line="480" w:lineRule="auto"/>
        <w:ind w:left="720" w:hanging="720"/>
        <w:contextualSpacing/>
      </w:pPr>
      <w:r w:rsidRPr="00B640BE">
        <w:t>Vasilaki, A., Tarba, S., Ahammad, M., &amp; Glaister, A. (2016). The moderating role of transformational leadership on HR practices in M&amp;A integration. </w:t>
      </w:r>
      <w:r w:rsidRPr="00B640BE">
        <w:rPr>
          <w:i/>
          <w:iCs/>
        </w:rPr>
        <w:t>The International Journal Of Human Resource Management</w:t>
      </w:r>
      <w:r w:rsidRPr="00B640BE">
        <w:t>, </w:t>
      </w:r>
      <w:r w:rsidRPr="00B640BE">
        <w:rPr>
          <w:i/>
          <w:iCs/>
        </w:rPr>
        <w:t>27</w:t>
      </w:r>
      <w:r w:rsidRPr="00B640BE">
        <w:t>(20), 2488-2504. doi: 10.1080/09585192.2016.1204556</w:t>
      </w:r>
    </w:p>
    <w:sectPr w:rsidR="00B640BE" w:rsidSect="00D5233F">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5C0" w:rsidRDefault="001605C0" w:rsidP="00D5233F">
      <w:pPr>
        <w:spacing w:after="0" w:line="240" w:lineRule="auto"/>
      </w:pPr>
      <w:r>
        <w:separator/>
      </w:r>
    </w:p>
  </w:endnote>
  <w:endnote w:type="continuationSeparator" w:id="0">
    <w:p w:rsidR="001605C0" w:rsidRDefault="001605C0" w:rsidP="00D52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5C0" w:rsidRDefault="001605C0" w:rsidP="00D5233F">
      <w:pPr>
        <w:spacing w:after="0" w:line="240" w:lineRule="auto"/>
      </w:pPr>
      <w:r>
        <w:separator/>
      </w:r>
    </w:p>
  </w:footnote>
  <w:footnote w:type="continuationSeparator" w:id="0">
    <w:p w:rsidR="001605C0" w:rsidRDefault="001605C0" w:rsidP="00D52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33F" w:rsidRDefault="00D5233F">
    <w:pPr>
      <w:pStyle w:val="Header"/>
      <w:jc w:val="right"/>
    </w:pPr>
    <w:r w:rsidRPr="00D5233F">
      <w:rPr>
        <w:lang w:val="en-US"/>
      </w:rPr>
      <w:t>HUMAN RESOURCE MANAGEMENT AND MERGERS</w:t>
    </w:r>
    <w:r>
      <w:t xml:space="preserve"> </w:t>
    </w:r>
    <w:r>
      <w:tab/>
    </w:r>
    <w:sdt>
      <w:sdtPr>
        <w:id w:val="-611436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5467">
          <w:rPr>
            <w:noProof/>
          </w:rPr>
          <w:t>5</w:t>
        </w:r>
        <w:r>
          <w:rPr>
            <w:noProof/>
          </w:rPr>
          <w:fldChar w:fldCharType="end"/>
        </w:r>
      </w:sdtContent>
    </w:sdt>
  </w:p>
  <w:p w:rsidR="00D5233F" w:rsidRDefault="00D523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33F" w:rsidRPr="00D5233F" w:rsidRDefault="00D5233F">
    <w:pPr>
      <w:pStyle w:val="Header"/>
      <w:rPr>
        <w:lang w:val="en-US"/>
      </w:rPr>
    </w:pPr>
    <w:r>
      <w:rPr>
        <w:lang w:val="en-US"/>
      </w:rPr>
      <w:t xml:space="preserve">Running head: </w:t>
    </w:r>
    <w:r w:rsidRPr="00D5233F">
      <w:rPr>
        <w:lang w:val="en-US"/>
      </w:rPr>
      <w:t>HUMAN RESOURCE MANAGEMENT AND MERGERS</w:t>
    </w:r>
    <w:r>
      <w:rPr>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219"/>
    <w:rsid w:val="00026B69"/>
    <w:rsid w:val="00026DA9"/>
    <w:rsid w:val="000C7068"/>
    <w:rsid w:val="001056CC"/>
    <w:rsid w:val="001605C0"/>
    <w:rsid w:val="001C5DCB"/>
    <w:rsid w:val="001F5473"/>
    <w:rsid w:val="0024167F"/>
    <w:rsid w:val="002648C2"/>
    <w:rsid w:val="00303219"/>
    <w:rsid w:val="003C7BCD"/>
    <w:rsid w:val="003E08E4"/>
    <w:rsid w:val="004428EB"/>
    <w:rsid w:val="004468A7"/>
    <w:rsid w:val="00455467"/>
    <w:rsid w:val="00455BA7"/>
    <w:rsid w:val="004760B7"/>
    <w:rsid w:val="00521A87"/>
    <w:rsid w:val="005566D5"/>
    <w:rsid w:val="005D765A"/>
    <w:rsid w:val="005E3DC1"/>
    <w:rsid w:val="00673B45"/>
    <w:rsid w:val="00710BD7"/>
    <w:rsid w:val="007349F0"/>
    <w:rsid w:val="007868E1"/>
    <w:rsid w:val="00796B1E"/>
    <w:rsid w:val="00797BFD"/>
    <w:rsid w:val="008325EE"/>
    <w:rsid w:val="008505AA"/>
    <w:rsid w:val="00892590"/>
    <w:rsid w:val="008B6E4A"/>
    <w:rsid w:val="009330A7"/>
    <w:rsid w:val="009A3678"/>
    <w:rsid w:val="00A2651B"/>
    <w:rsid w:val="00A83497"/>
    <w:rsid w:val="00A866DF"/>
    <w:rsid w:val="00AB633A"/>
    <w:rsid w:val="00B155E0"/>
    <w:rsid w:val="00B21C30"/>
    <w:rsid w:val="00B41324"/>
    <w:rsid w:val="00B640BE"/>
    <w:rsid w:val="00BC6301"/>
    <w:rsid w:val="00BD0390"/>
    <w:rsid w:val="00C05F62"/>
    <w:rsid w:val="00C5061C"/>
    <w:rsid w:val="00C644E1"/>
    <w:rsid w:val="00CE0DC0"/>
    <w:rsid w:val="00D5233F"/>
    <w:rsid w:val="00DA644A"/>
    <w:rsid w:val="00E95B66"/>
    <w:rsid w:val="00F2027E"/>
    <w:rsid w:val="00F85B15"/>
    <w:rsid w:val="00FC5FD7"/>
    <w:rsid w:val="00FF5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1065D-CCA5-458F-A5CA-E3AF3BB53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233F"/>
  </w:style>
  <w:style w:type="paragraph" w:styleId="Footer">
    <w:name w:val="footer"/>
    <w:basedOn w:val="Normal"/>
    <w:link w:val="FooterChar"/>
    <w:uiPriority w:val="99"/>
    <w:unhideWhenUsed/>
    <w:rsid w:val="00D52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33F"/>
  </w:style>
  <w:style w:type="character" w:styleId="Hyperlink">
    <w:name w:val="Hyperlink"/>
    <w:basedOn w:val="DefaultParagraphFont"/>
    <w:uiPriority w:val="99"/>
    <w:unhideWhenUsed/>
    <w:rsid w:val="00B640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rporate.dow.com/en-us/news/press-releases/dowdupont-merger-successfully-completed.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2</cp:revision>
  <dcterms:created xsi:type="dcterms:W3CDTF">2019-10-15T06:03:00Z</dcterms:created>
  <dcterms:modified xsi:type="dcterms:W3CDTF">2019-10-15T06:03:00Z</dcterms:modified>
</cp:coreProperties>
</file>